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F64C" w14:textId="77777777" w:rsidR="00926D71" w:rsidRDefault="00926D71" w:rsidP="00C31AF5">
      <w:pPr>
        <w:jc w:val="center"/>
        <w:rPr>
          <w:b/>
          <w:sz w:val="24"/>
          <w:szCs w:val="24"/>
        </w:rPr>
      </w:pPr>
    </w:p>
    <w:p w14:paraId="0B6D6FD5" w14:textId="77777777" w:rsidR="00F12FAF" w:rsidRDefault="00F12FAF" w:rsidP="00F12FAF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1127E6">
        <w:rPr>
          <w:rFonts w:ascii="Palatino Linotype" w:hAnsi="Palatino Linotype"/>
          <w:b/>
          <w:bCs/>
          <w:sz w:val="24"/>
          <w:szCs w:val="24"/>
          <w:u w:val="single"/>
        </w:rPr>
        <w:t xml:space="preserve">ÚČEL SPRACÚVANIA OSOBNÝCH ÚDAJOV </w:t>
      </w:r>
    </w:p>
    <w:p w14:paraId="0067F801" w14:textId="212A3908" w:rsidR="00F12FAF" w:rsidRPr="001127E6" w:rsidRDefault="00F12FAF" w:rsidP="00F12FAF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KNIHA NÁVŠTEV</w:t>
      </w:r>
    </w:p>
    <w:p w14:paraId="40266D01" w14:textId="77777777" w:rsidR="00C31AF5" w:rsidRDefault="00C31AF5" w:rsidP="00C31AF5">
      <w:pPr>
        <w:jc w:val="center"/>
        <w:rPr>
          <w:b/>
          <w:sz w:val="24"/>
          <w:szCs w:val="24"/>
        </w:rPr>
      </w:pPr>
    </w:p>
    <w:p w14:paraId="1D308F2A" w14:textId="77777777" w:rsidR="00B644C0" w:rsidRDefault="00B644C0" w:rsidP="00C31AF5">
      <w:pPr>
        <w:jc w:val="center"/>
        <w:rPr>
          <w:b/>
          <w:sz w:val="24"/>
          <w:szCs w:val="24"/>
        </w:rPr>
      </w:pPr>
    </w:p>
    <w:p w14:paraId="6AF102E4" w14:textId="77777777" w:rsidR="00C31AF5" w:rsidRPr="00B644C0" w:rsidRDefault="00C31AF5" w:rsidP="00926D71">
      <w:pPr>
        <w:pStyle w:val="Odsekzoznamu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14:paraId="3B08CD5B" w14:textId="56D78FF6" w:rsidR="00C31AF5" w:rsidRPr="00B644C0" w:rsidRDefault="00C31AF5" w:rsidP="00F12FAF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B644C0">
        <w:rPr>
          <w:rFonts w:ascii="Palatino Linotype" w:hAnsi="Palatino Linotype"/>
          <w:sz w:val="22"/>
          <w:szCs w:val="22"/>
        </w:rPr>
        <w:t>Sprac</w:t>
      </w:r>
      <w:r w:rsidR="00F12FAF">
        <w:rPr>
          <w:rFonts w:ascii="Palatino Linotype" w:hAnsi="Palatino Linotype"/>
          <w:sz w:val="22"/>
          <w:szCs w:val="22"/>
        </w:rPr>
        <w:t>ú</w:t>
      </w:r>
      <w:r w:rsidRPr="00B644C0">
        <w:rPr>
          <w:rFonts w:ascii="Palatino Linotype" w:hAnsi="Palatino Linotype"/>
          <w:sz w:val="22"/>
          <w:szCs w:val="22"/>
        </w:rPr>
        <w:t xml:space="preserve">vanie osobných údajov dotknutých osôb </w:t>
      </w:r>
      <w:r w:rsidR="00F12FAF">
        <w:rPr>
          <w:rFonts w:ascii="Palatino Linotype" w:hAnsi="Palatino Linotype"/>
          <w:sz w:val="22"/>
          <w:szCs w:val="22"/>
        </w:rPr>
        <w:t xml:space="preserve">sa vykonáva </w:t>
      </w:r>
      <w:r w:rsidRPr="00B644C0">
        <w:rPr>
          <w:rFonts w:ascii="Palatino Linotype" w:hAnsi="Palatino Linotype"/>
          <w:sz w:val="22"/>
          <w:szCs w:val="22"/>
        </w:rPr>
        <w:t>za účelom identifikácie fyzickej osoby pri vstupe do objektu.</w:t>
      </w:r>
    </w:p>
    <w:p w14:paraId="5BBADE85" w14:textId="77777777" w:rsidR="00C31AF5" w:rsidRPr="00B644C0" w:rsidRDefault="00C31AF5" w:rsidP="00926D71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2AF77294" w14:textId="77777777" w:rsidR="00C31AF5" w:rsidRPr="00B644C0" w:rsidRDefault="00C31AF5" w:rsidP="00926D71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14:paraId="71F35E92" w14:textId="77777777" w:rsidR="00C31AF5" w:rsidRPr="00B644C0" w:rsidRDefault="00C31AF5" w:rsidP="00F12FAF">
      <w:pPr>
        <w:autoSpaceDE w:val="0"/>
        <w:ind w:firstLine="36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B644C0">
        <w:rPr>
          <w:rFonts w:ascii="Palatino Linotype" w:hAnsi="Palatino Linotype"/>
          <w:sz w:val="22"/>
          <w:szCs w:val="22"/>
        </w:rPr>
        <w:t xml:space="preserve">Osobné údaje sa spracovávajú na základe článku 6 ods. 1 písm. f) </w:t>
      </w:r>
      <w:r w:rsidRPr="00B644C0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14:paraId="207FF9D5" w14:textId="77777777" w:rsidR="00C31AF5" w:rsidRPr="00B644C0" w:rsidRDefault="00C31AF5" w:rsidP="00926D71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14:paraId="68A01E58" w14:textId="77777777" w:rsidR="00C31AF5" w:rsidRPr="00B644C0" w:rsidRDefault="00C31AF5" w:rsidP="00926D71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B644C0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14:paraId="61B8F820" w14:textId="77777777" w:rsidR="00C31AF5" w:rsidRPr="00B644C0" w:rsidRDefault="00C31AF5" w:rsidP="00F12FAF">
      <w:pPr>
        <w:autoSpaceDE w:val="0"/>
        <w:ind w:firstLine="36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B644C0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14:paraId="1013BB85" w14:textId="77777777" w:rsidR="00C31AF5" w:rsidRPr="00B644C0" w:rsidRDefault="00C31AF5" w:rsidP="00926D71">
      <w:p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17B6FE42" w14:textId="77777777" w:rsidR="00C31AF5" w:rsidRPr="00B644C0" w:rsidRDefault="00C31AF5" w:rsidP="00926D71">
      <w:pPr>
        <w:pStyle w:val="Odsekzoznamu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>Zoznam osobných údajov:</w:t>
      </w:r>
    </w:p>
    <w:p w14:paraId="6244F4AE" w14:textId="77777777" w:rsidR="00C31AF5" w:rsidRPr="00B644C0" w:rsidRDefault="005747F8" w:rsidP="00F12FAF">
      <w:pPr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</w:t>
      </w:r>
      <w:r w:rsidR="00C31AF5" w:rsidRPr="00B644C0">
        <w:rPr>
          <w:rFonts w:ascii="Palatino Linotype" w:hAnsi="Palatino Linotype"/>
          <w:sz w:val="22"/>
          <w:szCs w:val="22"/>
        </w:rPr>
        <w:t>eno, priezvisko, číslo občianskeho preukazu alebo číslo služobného preukazu,</w:t>
      </w:r>
      <w:r>
        <w:rPr>
          <w:rFonts w:ascii="Palatino Linotype" w:hAnsi="Palatino Linotype"/>
          <w:sz w:val="22"/>
          <w:szCs w:val="22"/>
        </w:rPr>
        <w:t xml:space="preserve"> názov spoločnosti, čas príhodu a</w:t>
      </w:r>
      <w:r w:rsidR="00494222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>odchodu</w:t>
      </w:r>
      <w:r w:rsidR="00494222">
        <w:rPr>
          <w:rFonts w:ascii="Palatino Linotype" w:hAnsi="Palatino Linotype"/>
          <w:sz w:val="22"/>
          <w:szCs w:val="22"/>
        </w:rPr>
        <w:t>, ŠPZ vozidla</w:t>
      </w:r>
      <w:r w:rsidR="00C31AF5" w:rsidRPr="00B644C0">
        <w:rPr>
          <w:rFonts w:ascii="Palatino Linotype" w:hAnsi="Palatino Linotype"/>
          <w:sz w:val="22"/>
          <w:szCs w:val="22"/>
        </w:rPr>
        <w:t>.</w:t>
      </w:r>
    </w:p>
    <w:p w14:paraId="0A6B94BA" w14:textId="77777777" w:rsidR="00C31AF5" w:rsidRPr="00B644C0" w:rsidRDefault="00C31AF5" w:rsidP="00926D71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C354B0E" w14:textId="77777777" w:rsidR="00C31AF5" w:rsidRPr="00B644C0" w:rsidRDefault="00C31AF5" w:rsidP="00926D71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>Dotknuté osoby:</w:t>
      </w:r>
    </w:p>
    <w:p w14:paraId="038D4DBA" w14:textId="77777777" w:rsidR="00C31AF5" w:rsidRPr="00B644C0" w:rsidRDefault="00D8223A" w:rsidP="00F12FAF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</w:t>
      </w:r>
      <w:r w:rsidR="00C31AF5" w:rsidRPr="00B644C0">
        <w:rPr>
          <w:rFonts w:ascii="Palatino Linotype" w:hAnsi="Palatino Linotype"/>
          <w:sz w:val="22"/>
          <w:szCs w:val="22"/>
        </w:rPr>
        <w:t>ávštevy prevádzkovateľa.</w:t>
      </w:r>
    </w:p>
    <w:p w14:paraId="5EEB92CA" w14:textId="77777777" w:rsidR="00C31AF5" w:rsidRPr="00B644C0" w:rsidRDefault="00C31AF5" w:rsidP="00926D71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14:paraId="0E6B2E65" w14:textId="77777777" w:rsidR="00C31AF5" w:rsidRPr="00B644C0" w:rsidRDefault="00C31AF5" w:rsidP="00926D71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B644C0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14:paraId="40DF9875" w14:textId="77777777" w:rsidR="00C31AF5" w:rsidRPr="00B644C0" w:rsidRDefault="00C31AF5" w:rsidP="00F12FAF">
      <w:pPr>
        <w:autoSpaceDE w:val="0"/>
        <w:ind w:firstLine="36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75F54">
        <w:rPr>
          <w:rFonts w:ascii="Palatino Linotype" w:eastAsia="Calibri" w:hAnsi="Palatino Linotype"/>
          <w:sz w:val="22"/>
          <w:szCs w:val="22"/>
          <w:lang w:eastAsia="sk-SK"/>
        </w:rPr>
        <w:t>Osobné údaje sa uchovávajú po dobu troch rokov.</w:t>
      </w:r>
    </w:p>
    <w:p w14:paraId="5CE88A15" w14:textId="77777777" w:rsidR="00C31AF5" w:rsidRPr="00B644C0" w:rsidRDefault="00C31AF5" w:rsidP="00926D71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60062FB4" w14:textId="77777777" w:rsidR="00C31AF5" w:rsidRPr="00B644C0" w:rsidRDefault="00C31AF5" w:rsidP="00926D71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14:paraId="6860F1B1" w14:textId="00D405B0" w:rsidR="00C31AF5" w:rsidRPr="00B644C0" w:rsidRDefault="00F12FAF" w:rsidP="00F12FAF">
      <w:pPr>
        <w:widowControl w:val="0"/>
        <w:autoSpaceDN w:val="0"/>
        <w:adjustRightInd w:val="0"/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Oprávnených záujmom prevádzkovateľa je</w:t>
      </w:r>
      <w:r w:rsidR="00C31AF5" w:rsidRPr="00B644C0">
        <w:rPr>
          <w:rFonts w:ascii="Palatino Linotype" w:hAnsi="Palatino Linotype"/>
          <w:sz w:val="22"/>
          <w:szCs w:val="22"/>
        </w:rPr>
        <w:t xml:space="preserve"> identifikáci</w:t>
      </w:r>
      <w:r>
        <w:rPr>
          <w:rFonts w:ascii="Palatino Linotype" w:hAnsi="Palatino Linotype"/>
          <w:sz w:val="22"/>
          <w:szCs w:val="22"/>
        </w:rPr>
        <w:t>a</w:t>
      </w:r>
      <w:r w:rsidR="00C31AF5" w:rsidRPr="00B644C0">
        <w:rPr>
          <w:rFonts w:ascii="Palatino Linotype" w:hAnsi="Palatino Linotype"/>
          <w:sz w:val="22"/>
          <w:szCs w:val="22"/>
        </w:rPr>
        <w:t xml:space="preserve"> fyzickej osoby pri vstupe do objektu.</w:t>
      </w:r>
    </w:p>
    <w:p w14:paraId="6A250351" w14:textId="77777777" w:rsidR="00C31AF5" w:rsidRPr="00B644C0" w:rsidRDefault="00C31AF5" w:rsidP="00926D71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28FD2979" w14:textId="77777777" w:rsidR="00926D71" w:rsidRPr="00B644C0" w:rsidRDefault="00926D71" w:rsidP="00926D71">
      <w:pPr>
        <w:pStyle w:val="Odsekzoznamu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14:paraId="132CC1C7" w14:textId="77777777" w:rsidR="00926D71" w:rsidRPr="00B644C0" w:rsidRDefault="00926D71" w:rsidP="00F12FAF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B644C0">
        <w:rPr>
          <w:rFonts w:ascii="Palatino Linotype" w:hAnsi="Palatino Linotype"/>
          <w:sz w:val="22"/>
          <w:szCs w:val="22"/>
        </w:rPr>
        <w:t>Osobné údaje sa do tretích krajín neposkytujú.</w:t>
      </w:r>
    </w:p>
    <w:p w14:paraId="3712B953" w14:textId="77777777" w:rsidR="00926D71" w:rsidRPr="00B644C0" w:rsidRDefault="00926D71" w:rsidP="00926D71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645C6A4F" w14:textId="77777777" w:rsidR="00926D71" w:rsidRPr="00B644C0" w:rsidRDefault="00926D71" w:rsidP="00926D71">
      <w:pPr>
        <w:pStyle w:val="Odsekzoznamu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14:paraId="48674BA4" w14:textId="77777777" w:rsidR="00926D71" w:rsidRDefault="00926D71" w:rsidP="00F12FAF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B644C0">
        <w:rPr>
          <w:rFonts w:ascii="Palatino Linotype" w:hAnsi="Palatino Linotype"/>
          <w:sz w:val="22"/>
          <w:szCs w:val="22"/>
        </w:rPr>
        <w:t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</w:t>
      </w:r>
    </w:p>
    <w:p w14:paraId="3DCD9E7B" w14:textId="77777777" w:rsidR="00B644C0" w:rsidRPr="00B644C0" w:rsidRDefault="00B644C0" w:rsidP="00926D71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1445AE9A" w14:textId="77777777" w:rsidR="00B644C0" w:rsidRPr="00B644C0" w:rsidRDefault="00B644C0" w:rsidP="00B644C0">
      <w:pPr>
        <w:pStyle w:val="Odsekzoznamu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B644C0">
        <w:rPr>
          <w:rFonts w:ascii="Palatino Linotype" w:hAnsi="Palatino Linotype"/>
          <w:b/>
          <w:sz w:val="22"/>
          <w:szCs w:val="22"/>
        </w:rPr>
        <w:t>Kategória osobných údajov:</w:t>
      </w:r>
    </w:p>
    <w:p w14:paraId="5047FC39" w14:textId="77777777" w:rsidR="00B644C0" w:rsidRPr="00B644C0" w:rsidRDefault="00B644C0" w:rsidP="00F12FAF">
      <w:pPr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14:paraId="74A3EBF9" w14:textId="77777777" w:rsidR="00926D71" w:rsidRDefault="00926D71" w:rsidP="00926D71">
      <w:pPr>
        <w:rPr>
          <w:rFonts w:ascii="Palatino Linotype" w:hAnsi="Palatino Linotype"/>
          <w:b/>
          <w:sz w:val="22"/>
          <w:szCs w:val="22"/>
        </w:rPr>
      </w:pPr>
    </w:p>
    <w:p w14:paraId="75E3E33E" w14:textId="77777777" w:rsidR="00F12FAF" w:rsidRPr="00B644C0" w:rsidRDefault="00F12FAF" w:rsidP="00926D71">
      <w:pPr>
        <w:rPr>
          <w:rFonts w:ascii="Palatino Linotype" w:hAnsi="Palatino Linotype"/>
          <w:b/>
          <w:sz w:val="22"/>
          <w:szCs w:val="22"/>
        </w:rPr>
      </w:pPr>
    </w:p>
    <w:p w14:paraId="2D411415" w14:textId="372F4D33" w:rsidR="00F12FAF" w:rsidRDefault="00F12FAF" w:rsidP="00926D71">
      <w:pPr>
        <w:pStyle w:val="Odsekzoznamu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Zverejňovanie osobných údajov:</w:t>
      </w:r>
    </w:p>
    <w:p w14:paraId="6B3ADFE7" w14:textId="253FBA98" w:rsidR="00F12FAF" w:rsidRDefault="00F12FAF" w:rsidP="00F12FAF">
      <w:pPr>
        <w:autoSpaceDE w:val="0"/>
        <w:ind w:left="360"/>
        <w:contextualSpacing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Osobné údaje sa nezverejňujú.</w:t>
      </w:r>
    </w:p>
    <w:p w14:paraId="5002B1FC" w14:textId="77777777" w:rsidR="00F12FAF" w:rsidRPr="00F12FAF" w:rsidRDefault="00F12FAF" w:rsidP="00F12FAF">
      <w:pPr>
        <w:autoSpaceDE w:val="0"/>
        <w:ind w:left="360"/>
        <w:contextualSpacing/>
        <w:rPr>
          <w:rFonts w:ascii="Palatino Linotype" w:hAnsi="Palatino Linotype"/>
          <w:bCs/>
          <w:sz w:val="22"/>
          <w:szCs w:val="22"/>
        </w:rPr>
      </w:pPr>
    </w:p>
    <w:p w14:paraId="2B38111F" w14:textId="1D5E57EE" w:rsidR="00F12FAF" w:rsidRDefault="00F12FAF" w:rsidP="00926D71">
      <w:pPr>
        <w:pStyle w:val="Odsekzoznamu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Automatizované individuálne rozhodovanie vrátane profilovania:</w:t>
      </w:r>
    </w:p>
    <w:p w14:paraId="4BCED377" w14:textId="5CB88C11" w:rsidR="00F12FAF" w:rsidRDefault="00F12FAF" w:rsidP="00F12FAF">
      <w:pPr>
        <w:autoSpaceDE w:val="0"/>
        <w:ind w:left="360"/>
        <w:contextualSpacing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Nevykonáva sa.</w:t>
      </w:r>
    </w:p>
    <w:p w14:paraId="38E8E6AD" w14:textId="77777777" w:rsidR="00F12FAF" w:rsidRPr="00F12FAF" w:rsidRDefault="00F12FAF" w:rsidP="00F12FAF">
      <w:pPr>
        <w:autoSpaceDE w:val="0"/>
        <w:ind w:left="360"/>
        <w:contextualSpacing/>
        <w:rPr>
          <w:rFonts w:ascii="Palatino Linotype" w:hAnsi="Palatino Linotype"/>
          <w:bCs/>
          <w:sz w:val="22"/>
          <w:szCs w:val="22"/>
        </w:rPr>
      </w:pPr>
    </w:p>
    <w:p w14:paraId="4FA0A46B" w14:textId="121F7F9E" w:rsidR="00C31AF5" w:rsidRDefault="00F12FAF" w:rsidP="00926D71">
      <w:pPr>
        <w:pStyle w:val="Odsekzoznamu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Sprostredkovateľ</w:t>
      </w:r>
      <w:r w:rsidR="00C31AF5" w:rsidRPr="00B644C0">
        <w:rPr>
          <w:rFonts w:ascii="Palatino Linotype" w:hAnsi="Palatino Linotype"/>
          <w:b/>
          <w:sz w:val="22"/>
          <w:szCs w:val="22"/>
        </w:rPr>
        <w:t>:</w:t>
      </w:r>
    </w:p>
    <w:tbl>
      <w:tblPr>
        <w:tblStyle w:val="Mriekatabuky"/>
        <w:tblW w:w="0" w:type="auto"/>
        <w:tblInd w:w="10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395"/>
        <w:gridCol w:w="4785"/>
      </w:tblGrid>
      <w:tr w:rsidR="00F12FAF" w:rsidRPr="00101D9A" w14:paraId="1D3B7D27" w14:textId="77777777" w:rsidTr="00F12FAF">
        <w:trPr>
          <w:trHeight w:val="340"/>
        </w:trPr>
        <w:tc>
          <w:tcPr>
            <w:tcW w:w="4395" w:type="dxa"/>
            <w:shd w:val="clear" w:color="auto" w:fill="auto"/>
          </w:tcPr>
          <w:p w14:paraId="1E6D6B4F" w14:textId="77777777" w:rsidR="00F12FAF" w:rsidRPr="00F12FAF" w:rsidRDefault="00F12FAF" w:rsidP="00F12FAF">
            <w:pPr>
              <w:spacing w:before="100"/>
              <w:jc w:val="both"/>
              <w:rPr>
                <w:rFonts w:ascii="Palatino Linotype" w:hAnsi="Palatino Linotype"/>
              </w:rPr>
            </w:pPr>
            <w:r w:rsidRPr="00F12FAF">
              <w:rPr>
                <w:rFonts w:ascii="Palatino Linotype" w:hAnsi="Palatino Linotype"/>
              </w:rPr>
              <w:t>Zmluvná služba fyzickej ochrany (SBS)</w:t>
            </w:r>
          </w:p>
        </w:tc>
        <w:tc>
          <w:tcPr>
            <w:tcW w:w="4785" w:type="dxa"/>
            <w:shd w:val="clear" w:color="auto" w:fill="auto"/>
          </w:tcPr>
          <w:p w14:paraId="66BA898B" w14:textId="77777777" w:rsidR="00F12FAF" w:rsidRPr="00F12FAF" w:rsidRDefault="00F12FAF" w:rsidP="00F12FAF">
            <w:pPr>
              <w:jc w:val="both"/>
              <w:rPr>
                <w:rFonts w:ascii="Palatino Linotype" w:hAnsi="Palatino Linotype"/>
              </w:rPr>
            </w:pPr>
            <w:r w:rsidRPr="00F12FAF">
              <w:rPr>
                <w:rFonts w:ascii="Palatino Linotype" w:hAnsi="Palatino Linotype"/>
              </w:rPr>
              <w:t xml:space="preserve">Čl. 28 </w:t>
            </w:r>
            <w:r w:rsidRPr="00F12FAF">
              <w:rPr>
                <w:rFonts w:ascii="Palatino Linotype" w:hAnsi="Palatino Linotype"/>
                <w:bCs/>
                <w:iCs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</w:t>
            </w:r>
          </w:p>
        </w:tc>
      </w:tr>
    </w:tbl>
    <w:p w14:paraId="1DA6B192" w14:textId="77777777" w:rsidR="00F12FAF" w:rsidRPr="00F12FAF" w:rsidRDefault="00F12FAF" w:rsidP="00F12FAF">
      <w:pPr>
        <w:autoSpaceDE w:val="0"/>
        <w:ind w:left="360"/>
        <w:contextualSpacing/>
        <w:rPr>
          <w:rFonts w:ascii="Palatino Linotype" w:hAnsi="Palatino Linotype"/>
          <w:b/>
          <w:sz w:val="22"/>
          <w:szCs w:val="22"/>
        </w:rPr>
      </w:pPr>
    </w:p>
    <w:p w14:paraId="332F8FED" w14:textId="77777777" w:rsidR="00F12FAF" w:rsidRPr="00EF7215" w:rsidRDefault="00F12FAF" w:rsidP="00F12FAF">
      <w:pPr>
        <w:pStyle w:val="Odsekzoznamu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EF7215">
        <w:rPr>
          <w:rFonts w:ascii="Palatino Linotype" w:hAnsi="Palatino Linotype"/>
          <w:b/>
          <w:sz w:val="22"/>
          <w:szCs w:val="22"/>
        </w:rPr>
        <w:t>Iné oprávnené subjekty: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1"/>
        <w:gridCol w:w="3090"/>
        <w:gridCol w:w="3083"/>
      </w:tblGrid>
      <w:tr w:rsidR="00F12FAF" w14:paraId="73EE95ED" w14:textId="77777777" w:rsidTr="00F12FAF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2B14732" w14:textId="77777777" w:rsidR="00F12FAF" w:rsidRPr="00FE49D4" w:rsidRDefault="00F12FAF" w:rsidP="00E2230B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Iný oprávnený subjekt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60529AC" w14:textId="77777777" w:rsidR="00F12FAF" w:rsidRPr="00FE49D4" w:rsidRDefault="00F12FAF" w:rsidP="00E2230B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Právny základ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1C8387" w14:textId="77777777" w:rsidR="00F12FAF" w:rsidRPr="00FE49D4" w:rsidRDefault="00F12FAF" w:rsidP="00E2230B">
            <w:pPr>
              <w:spacing w:line="256" w:lineRule="auto"/>
              <w:jc w:val="center"/>
              <w:rPr>
                <w:rStyle w:val="normaltextrun"/>
                <w:rFonts w:ascii="Palatino Linotype" w:hAnsi="Palatino Linotype" w:cs="Segoe UI"/>
                <w:b/>
                <w:bCs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Rozsah osobných údajov postupovaný tretej strane 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  <w:tr w:rsidR="00F12FAF" w14:paraId="42C67AFC" w14:textId="77777777" w:rsidTr="00F12FAF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94AB" w14:textId="77777777" w:rsidR="00F12FAF" w:rsidRPr="00FE49D4" w:rsidRDefault="00F12FAF" w:rsidP="00E2230B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296F" w14:textId="77777777" w:rsidR="00F12FAF" w:rsidRPr="00FE49D4" w:rsidRDefault="00F12FAF" w:rsidP="00E2230B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moci, ktoré môžu prijať osobné údaje v rámci konkrétneho zisťovania v súlade s právom Únie alebo právom členského štátu, sa však nepovažujú za príjemcov; spracúvanie uvedených údajov uvedenými orgánmi verejnej moci sa uskutočňuje v súlade s uplatniteľnými pravidlami ochrany údajov v závislosti od účelov spracúvania;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3B7A" w14:textId="77777777" w:rsidR="00F12FAF" w:rsidRPr="00FE49D4" w:rsidRDefault="00F12FAF" w:rsidP="00E2230B">
            <w:pPr>
              <w:spacing w:line="256" w:lineRule="auto"/>
              <w:rPr>
                <w:rStyle w:val="normaltextrun"/>
                <w:rFonts w:ascii="Palatino Linotype" w:hAnsi="Palatino Linotype" w:cs="Segoe UI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Osobné údaje v</w:t>
            </w:r>
            <w:r w:rsidRPr="00FE49D4">
              <w:rPr>
                <w:rStyle w:val="normaltextrun"/>
                <w:rFonts w:ascii="Times New Roman" w:hAnsi="Times New Roma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rozsahu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   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ž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iadania od opr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vnen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é</w:t>
            </w:r>
            <w:r w:rsidRPr="00FE49D4">
              <w:rPr>
                <w:rStyle w:val="normaltextrun"/>
                <w:rFonts w:ascii="Palatino Linotype" w:hAnsi="Palatino Linotype" w:cs="Segoe UI"/>
              </w:rPr>
              <w:t>ho subjektu (napr. Pol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í</w:t>
            </w:r>
            <w:r w:rsidRPr="00FE49D4">
              <w:rPr>
                <w:rStyle w:val="normaltextrun"/>
                <w:rFonts w:ascii="Palatino Linotype" w:hAnsi="Palatino Linotype" w:cs="Segoe UI"/>
              </w:rPr>
              <w:t>cia v</w:t>
            </w:r>
            <w:r w:rsidRPr="00FE49D4">
              <w:rPr>
                <w:rStyle w:val="normaltextrun"/>
                <w:rFonts w:ascii="Times New Roman" w:hAnsi="Times New Roma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mci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etrovania priestupkov alebo trestn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ý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ch 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č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inov)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</w:tbl>
    <w:p w14:paraId="5368E0D7" w14:textId="77777777" w:rsidR="00F12FAF" w:rsidRDefault="00F12FAF" w:rsidP="00F12FAF">
      <w:pPr>
        <w:pStyle w:val="Odsekzoznamu"/>
        <w:autoSpaceDE w:val="0"/>
        <w:rPr>
          <w:rFonts w:ascii="Palatino Linotype" w:hAnsi="Palatino Linotype"/>
          <w:b/>
          <w:sz w:val="22"/>
          <w:szCs w:val="22"/>
        </w:rPr>
      </w:pPr>
    </w:p>
    <w:p w14:paraId="798677B6" w14:textId="77777777" w:rsidR="00F12FAF" w:rsidRPr="00FE49D4" w:rsidRDefault="00F12FAF" w:rsidP="00F12FAF">
      <w:pPr>
        <w:pStyle w:val="Odsekzoznamu"/>
        <w:numPr>
          <w:ilvl w:val="0"/>
          <w:numId w:val="2"/>
        </w:numPr>
        <w:rPr>
          <w:rFonts w:ascii="Palatino Linotype" w:hAnsi="Palatino Linotype"/>
          <w:b/>
          <w:bCs/>
          <w:sz w:val="22"/>
          <w:szCs w:val="22"/>
        </w:rPr>
      </w:pPr>
      <w:r w:rsidRPr="00FE49D4">
        <w:rPr>
          <w:rFonts w:ascii="Palatino Linotype" w:hAnsi="Palatino Linotype"/>
          <w:b/>
          <w:bCs/>
          <w:sz w:val="22"/>
          <w:szCs w:val="22"/>
        </w:rPr>
        <w:t>Práva dotknutých osôb:</w:t>
      </w:r>
    </w:p>
    <w:p w14:paraId="36AB78A1" w14:textId="77777777" w:rsidR="00F12FAF" w:rsidRPr="005E7523" w:rsidRDefault="00F12FAF" w:rsidP="00F12FAF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Dotknutá osoba má právo požadovať od prevádzkovateľa prístup k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m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dajom, ktor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nej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m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opravu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vymazanie, alebo obmedzenie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vania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</w:t>
      </w:r>
      <w:r w:rsidRPr="0071317A">
        <w:rPr>
          <w:rStyle w:val="normaltextrun"/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 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pr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á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 namieta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ť</w:t>
      </w:r>
      <w:r w:rsidRPr="0071317A">
        <w:rPr>
          <w:rStyle w:val="normaltextrun"/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 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č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i sprac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vaniu osobn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ý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 xml:space="preserve">ch 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dajov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právo na neúčinnosť automatizovaného individuálneho rozhodovania vrátane profilovania, právo na prenosnosť osobných údajov, ako aj právo podať návrh na začatie konania dozornému orgánu. V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pade ak prev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daje na z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klade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hlasu dotknutej osoby, dotknutá osoba má právo kedykoľvek svoj súhlas so spracúvaním osobných údajov odvolať. Odvolanie súhlasu nemá vplyv na zákonnosť spracúvania osobných údajov založeného na súhlase pred jeho odvolaním. </w:t>
      </w:r>
      <w:r>
        <w:rPr>
          <w:rStyle w:val="normaltextrun"/>
          <w:rFonts w:ascii="Palatino Linotype" w:hAnsi="Palatino Linotype"/>
          <w:sz w:val="22"/>
          <w:szCs w:val="22"/>
        </w:rPr>
        <w:t>Dotknutá osoba môže uplatniť svoje práva zaslaním emailu na adresu prevádzkovateľa, alebo písomne na adresu prevádzkovateľa.</w:t>
      </w:r>
      <w:r>
        <w:rPr>
          <w:rStyle w:val="normaltextrun"/>
          <w:rFonts w:ascii="Times New Roman" w:hAnsi="Times New Roman"/>
          <w:sz w:val="22"/>
          <w:szCs w:val="22"/>
        </w:rPr>
        <w:t>  </w:t>
      </w:r>
      <w:r>
        <w:rPr>
          <w:rStyle w:val="normaltextrun"/>
          <w:rFonts w:ascii="Palatino Linotype" w:hAnsi="Palatino Linotype"/>
          <w:sz w:val="22"/>
          <w:szCs w:val="22"/>
        </w:rPr>
        <w:t>Vybavovanie pr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v dotknut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ý</w:t>
      </w:r>
      <w:r>
        <w:rPr>
          <w:rStyle w:val="normaltextrun"/>
          <w:rFonts w:ascii="Palatino Linotype" w:hAnsi="Palatino Linotype"/>
          <w:sz w:val="22"/>
          <w:szCs w:val="22"/>
        </w:rPr>
        <w:t>ch os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ô</w:t>
      </w:r>
      <w:r>
        <w:rPr>
          <w:rStyle w:val="normaltextrun"/>
          <w:rFonts w:ascii="Palatino Linotype" w:hAnsi="Palatino Linotype"/>
          <w:sz w:val="22"/>
          <w:szCs w:val="22"/>
        </w:rPr>
        <w:t>b sa zabezpe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uje individu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lne prostredn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í</w:t>
      </w:r>
      <w:r>
        <w:rPr>
          <w:rStyle w:val="normaltextrun"/>
          <w:rFonts w:ascii="Palatino Linotype" w:hAnsi="Palatino Linotype"/>
          <w:sz w:val="22"/>
          <w:szCs w:val="22"/>
        </w:rPr>
        <w:t>ctvom zodpovednej osoby (osoby ur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enej prev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ľ</w:t>
      </w:r>
      <w:r>
        <w:rPr>
          <w:rStyle w:val="normaltextrun"/>
          <w:rFonts w:ascii="Palatino Linotype" w:hAnsi="Palatino Linotype"/>
          <w:sz w:val="22"/>
          <w:szCs w:val="22"/>
        </w:rPr>
        <w:t>om).</w:t>
      </w:r>
    </w:p>
    <w:p w14:paraId="1AA56532" w14:textId="77777777" w:rsidR="00926D71" w:rsidRPr="00B644C0" w:rsidRDefault="00926D71" w:rsidP="00926D71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p w14:paraId="5627EBDB" w14:textId="77777777" w:rsidR="00C31AF5" w:rsidRDefault="00C31AF5" w:rsidP="00C31AF5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p w14:paraId="54900F58" w14:textId="77777777" w:rsidR="00B644C0" w:rsidRDefault="00B644C0" w:rsidP="00C31AF5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p w14:paraId="40DB51BE" w14:textId="77777777" w:rsidR="00B644C0" w:rsidRPr="002F3F74" w:rsidRDefault="00B644C0" w:rsidP="002F3F74">
      <w:pPr>
        <w:autoSpaceDE w:val="0"/>
        <w:contextualSpacing/>
        <w:rPr>
          <w:rFonts w:ascii="Palatino Linotype" w:hAnsi="Palatino Linotype"/>
          <w:b/>
          <w:sz w:val="22"/>
          <w:szCs w:val="22"/>
        </w:rPr>
      </w:pPr>
    </w:p>
    <w:sectPr w:rsidR="00B644C0" w:rsidRPr="002F3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16B3" w14:textId="77777777" w:rsidR="00B554C0" w:rsidRDefault="00B554C0" w:rsidP="00926D71">
      <w:r>
        <w:separator/>
      </w:r>
    </w:p>
  </w:endnote>
  <w:endnote w:type="continuationSeparator" w:id="0">
    <w:p w14:paraId="322CAFDC" w14:textId="77777777" w:rsidR="00B554C0" w:rsidRDefault="00B554C0" w:rsidP="0092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CCFA" w14:textId="77777777" w:rsidR="00B554C0" w:rsidRDefault="00B554C0" w:rsidP="00926D71">
      <w:r>
        <w:separator/>
      </w:r>
    </w:p>
  </w:footnote>
  <w:footnote w:type="continuationSeparator" w:id="0">
    <w:p w14:paraId="1009BD43" w14:textId="77777777" w:rsidR="00B554C0" w:rsidRDefault="00B554C0" w:rsidP="0092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DBBF" w14:textId="77777777" w:rsidR="00991A51" w:rsidRDefault="00991A51" w:rsidP="00991A51">
    <w:pPr>
      <w:pStyle w:val="Hlavika"/>
    </w:pPr>
    <w:r>
      <w:rPr>
        <w:rFonts w:ascii="Palatino Linotype" w:hAnsi="Palatino Linotype"/>
        <w:sz w:val="22"/>
        <w:szCs w:val="22"/>
      </w:rPr>
      <w:t>Informačná povinnosť</w:t>
    </w:r>
    <w:r>
      <w:tab/>
    </w:r>
    <w:r>
      <w:tab/>
    </w:r>
    <w:r w:rsidRPr="00D874F8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inline distT="0" distB="0" distL="0" distR="0" wp14:anchorId="02D3BA95" wp14:editId="0FA988C0">
          <wp:extent cx="1688465" cy="267970"/>
          <wp:effectExtent l="0" t="0" r="698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602EF" w14:textId="4CD8ED86" w:rsidR="00926D71" w:rsidRPr="00991A51" w:rsidRDefault="00991A51" w:rsidP="00991A51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FDE14" wp14:editId="0E279C2E">
              <wp:simplePos x="0" y="0"/>
              <wp:positionH relativeFrom="column">
                <wp:posOffset>5079</wp:posOffset>
              </wp:positionH>
              <wp:positionV relativeFrom="paragraph">
                <wp:posOffset>88265</wp:posOffset>
              </wp:positionV>
              <wp:extent cx="5800725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A9D85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95pt" to="457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Ur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DA3"/>
    <w:multiLevelType w:val="hybridMultilevel"/>
    <w:tmpl w:val="DD267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185C"/>
    <w:multiLevelType w:val="hybridMultilevel"/>
    <w:tmpl w:val="F4F29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6A89"/>
    <w:multiLevelType w:val="hybridMultilevel"/>
    <w:tmpl w:val="C39CE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E95"/>
    <w:multiLevelType w:val="hybridMultilevel"/>
    <w:tmpl w:val="23980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8774A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9671996">
    <w:abstractNumId w:val="6"/>
  </w:num>
  <w:num w:numId="2" w16cid:durableId="90899015">
    <w:abstractNumId w:val="0"/>
  </w:num>
  <w:num w:numId="3" w16cid:durableId="493688965">
    <w:abstractNumId w:val="2"/>
  </w:num>
  <w:num w:numId="4" w16cid:durableId="1664043029">
    <w:abstractNumId w:val="1"/>
  </w:num>
  <w:num w:numId="5" w16cid:durableId="698051223">
    <w:abstractNumId w:val="4"/>
  </w:num>
  <w:num w:numId="6" w16cid:durableId="419762098">
    <w:abstractNumId w:val="7"/>
  </w:num>
  <w:num w:numId="7" w16cid:durableId="1057895963">
    <w:abstractNumId w:val="5"/>
  </w:num>
  <w:num w:numId="8" w16cid:durableId="1645968311">
    <w:abstractNumId w:val="8"/>
  </w:num>
  <w:num w:numId="9" w16cid:durableId="1173716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F5"/>
    <w:rsid w:val="00275F54"/>
    <w:rsid w:val="002F3F74"/>
    <w:rsid w:val="003D21C5"/>
    <w:rsid w:val="003F38A8"/>
    <w:rsid w:val="004036E8"/>
    <w:rsid w:val="00494222"/>
    <w:rsid w:val="005747F8"/>
    <w:rsid w:val="009208E5"/>
    <w:rsid w:val="00926D71"/>
    <w:rsid w:val="00991A51"/>
    <w:rsid w:val="009F53F0"/>
    <w:rsid w:val="00B554C0"/>
    <w:rsid w:val="00B644C0"/>
    <w:rsid w:val="00C31AF5"/>
    <w:rsid w:val="00D8223A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A34A"/>
  <w15:docId w15:val="{FB75BD1D-B8E5-4433-B6D7-91D2FF05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1AF5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1AF5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926D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6D71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26D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6D71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92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644C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F74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customStyle="1" w:styleId="normaltextrun">
    <w:name w:val="normaltextrun"/>
    <w:basedOn w:val="Predvolenpsmoodseku"/>
    <w:rsid w:val="00F12FAF"/>
  </w:style>
  <w:style w:type="character" w:customStyle="1" w:styleId="eop">
    <w:name w:val="eop"/>
    <w:basedOn w:val="Predvolenpsmoodseku"/>
    <w:rsid w:val="00F1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Baška</dc:creator>
  <cp:keywords/>
  <dc:description/>
  <cp:lastModifiedBy>Nikoleta Ducárová</cp:lastModifiedBy>
  <cp:revision>12</cp:revision>
  <dcterms:created xsi:type="dcterms:W3CDTF">2019-01-02T20:41:00Z</dcterms:created>
  <dcterms:modified xsi:type="dcterms:W3CDTF">2023-10-31T11:58:00Z</dcterms:modified>
</cp:coreProperties>
</file>